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outlineLvl w:val="0"/>
        <w:rPr>
          <w:rFonts w:ascii="Times New Roman" w:hAnsi="Times New Roman" w:eastAsia="仿宋"/>
          <w:sz w:val="32"/>
          <w:szCs w:val="32"/>
        </w:rPr>
      </w:pPr>
      <w:r>
        <w:rPr>
          <w:rFonts w:hint="eastAsia" w:ascii="Times New Roman" w:hAnsi="黑体" w:eastAsia="黑体"/>
          <w:sz w:val="32"/>
        </w:rPr>
        <w:t>附件</w:t>
      </w:r>
      <w:r>
        <w:rPr>
          <w:rFonts w:ascii="Times New Roman" w:hAnsi="Times New Roman" w:eastAsia="黑体"/>
          <w:sz w:val="32"/>
        </w:rPr>
        <w:t>1</w:t>
      </w:r>
    </w:p>
    <w:p>
      <w:pPr>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《郑州商品交易所</w:t>
      </w:r>
      <w:r>
        <w:rPr>
          <w:rFonts w:hint="eastAsia" w:ascii="方正小标宋简体" w:hAnsi="宋体" w:eastAsia="方正小标宋简体"/>
          <w:sz w:val="44"/>
          <w:szCs w:val="44"/>
          <w:lang w:eastAsia="zh-CN"/>
        </w:rPr>
        <w:t>纯碱</w:t>
      </w:r>
      <w:r>
        <w:rPr>
          <w:rFonts w:hint="eastAsia" w:ascii="方正小标宋简体" w:hAnsi="宋体" w:eastAsia="方正小标宋简体"/>
          <w:sz w:val="44"/>
          <w:szCs w:val="44"/>
        </w:rPr>
        <w:t>期权合约（征求意见稿）》及起草说明</w:t>
      </w:r>
    </w:p>
    <w:bookmarkEnd w:id="0"/>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eastAsia="黑体"/>
          <w:sz w:val="32"/>
          <w:szCs w:val="32"/>
          <w:lang w:eastAsia="zh-CN"/>
        </w:rPr>
      </w:pPr>
      <w:r>
        <w:rPr>
          <w:rFonts w:hint="eastAsia" w:eastAsia="黑体"/>
          <w:sz w:val="32"/>
          <w:szCs w:val="32"/>
          <w:lang w:eastAsia="zh-CN"/>
        </w:rPr>
        <w:t>纯碱</w:t>
      </w:r>
      <w:r>
        <w:rPr>
          <w:rFonts w:hint="eastAsia" w:eastAsia="黑体"/>
          <w:sz w:val="32"/>
          <w:szCs w:val="32"/>
        </w:rPr>
        <w:t>期权合约（征求意见稿）</w:t>
      </w:r>
    </w:p>
    <w:tbl>
      <w:tblPr>
        <w:tblStyle w:val="2"/>
        <w:tblW w:w="87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1"/>
        <w:gridCol w:w="6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合约标的物</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jc w:val="left"/>
              <w:textAlignment w:val="auto"/>
              <w:rPr>
                <w:rFonts w:ascii="Times New Roman" w:hAnsi="Times New Roman" w:eastAsia="仿宋"/>
                <w:sz w:val="24"/>
              </w:rPr>
            </w:pPr>
            <w:r>
              <w:rPr>
                <w:rFonts w:ascii="Times New Roman" w:hAnsi="Times New Roman" w:eastAsia="仿宋"/>
                <w:sz w:val="24"/>
              </w:rPr>
              <w:t>纯碱期货合约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合约类型</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jc w:val="left"/>
              <w:textAlignment w:val="auto"/>
              <w:rPr>
                <w:rFonts w:ascii="Times New Roman" w:hAnsi="Times New Roman" w:eastAsia="仿宋"/>
                <w:sz w:val="24"/>
              </w:rPr>
            </w:pPr>
            <w:r>
              <w:rPr>
                <w:rFonts w:ascii="Times New Roman" w:hAnsi="Times New Roman" w:eastAsia="仿宋"/>
                <w:sz w:val="24"/>
              </w:rPr>
              <w:t>看涨期权、看跌期权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交易单位</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jc w:val="left"/>
              <w:textAlignment w:val="auto"/>
              <w:rPr>
                <w:rFonts w:ascii="Times New Roman" w:hAnsi="Times New Roman" w:eastAsia="仿宋"/>
                <w:sz w:val="24"/>
              </w:rPr>
            </w:pPr>
            <w:r>
              <w:rPr>
                <w:rFonts w:ascii="Times New Roman" w:hAnsi="Times New Roman" w:eastAsia="仿宋"/>
                <w:sz w:val="24"/>
              </w:rPr>
              <w:t>1手纯碱期货合约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报价单位</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jc w:val="left"/>
              <w:textAlignment w:val="auto"/>
              <w:rPr>
                <w:rFonts w:ascii="Times New Roman" w:hAnsi="Times New Roman" w:eastAsia="仿宋"/>
                <w:sz w:val="24"/>
              </w:rPr>
            </w:pPr>
            <w:r>
              <w:rPr>
                <w:rFonts w:ascii="Times New Roman" w:hAnsi="Times New Roman" w:eastAsia="仿宋"/>
                <w:sz w:val="24"/>
              </w:rPr>
              <w:t>元（人民币）/吨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最小变动价位</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jc w:val="left"/>
              <w:textAlignment w:val="auto"/>
              <w:rPr>
                <w:rFonts w:ascii="Times New Roman" w:hAnsi="Times New Roman" w:eastAsia="仿宋"/>
                <w:sz w:val="24"/>
              </w:rPr>
            </w:pPr>
            <w:r>
              <w:rPr>
                <w:rFonts w:ascii="Times New Roman" w:hAnsi="Times New Roman" w:eastAsia="仿宋"/>
                <w:sz w:val="24"/>
              </w:rPr>
              <w:t>0.5元/吨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涨跌停板幅度</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jc w:val="left"/>
              <w:textAlignment w:val="auto"/>
              <w:rPr>
                <w:rFonts w:ascii="Times New Roman" w:hAnsi="Times New Roman" w:eastAsia="仿宋"/>
                <w:sz w:val="24"/>
              </w:rPr>
            </w:pPr>
            <w:r>
              <w:rPr>
                <w:rFonts w:ascii="Times New Roman" w:hAnsi="Times New Roman" w:eastAsia="仿宋"/>
                <w:sz w:val="24"/>
              </w:rPr>
              <w:t>与纯碱期货合约涨跌停板幅度相同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合约月份</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标的期货合约中的连续两个近月，其后月份在标的期货合约结算后持仓量达到10000手（单边）之后的第二个交易日挂牌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交易时间</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每周一至周五上午9:00</w:t>
            </w:r>
            <w:r>
              <w:rPr>
                <w:rFonts w:ascii="仿宋" w:hAnsi="仿宋" w:eastAsia="仿宋"/>
                <w:sz w:val="24"/>
              </w:rPr>
              <w:t>-</w:t>
            </w:r>
            <w:r>
              <w:rPr>
                <w:rFonts w:ascii="Times New Roman" w:hAnsi="Times New Roman" w:eastAsia="仿宋"/>
                <w:sz w:val="24"/>
              </w:rPr>
              <w:t>11:30，下午13:30</w:t>
            </w:r>
            <w:r>
              <w:rPr>
                <w:rFonts w:ascii="仿宋" w:hAnsi="仿宋" w:eastAsia="仿宋"/>
                <w:sz w:val="24"/>
              </w:rPr>
              <w:t>-</w:t>
            </w:r>
            <w:r>
              <w:rPr>
                <w:rFonts w:ascii="Times New Roman" w:hAnsi="Times New Roman" w:eastAsia="仿宋"/>
                <w:sz w:val="24"/>
              </w:rPr>
              <w:t>15:00，以及交易所规定的其他交易时间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最后交易日</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hint="eastAsia" w:ascii="Times New Roman" w:hAnsi="Times New Roman" w:eastAsia="仿宋"/>
                <w:sz w:val="24"/>
              </w:rPr>
              <w:t>标的期货合约交割月份前一个月第15个日历日之前（含该日）的倒数第3个交易日</w:t>
            </w:r>
            <w:r>
              <w:rPr>
                <w:rFonts w:ascii="Times New Roman" w:hAnsi="Times New Roman" w:eastAsia="仿宋"/>
                <w:sz w:val="24"/>
              </w:rPr>
              <w:t>，以及交易所规定的其他日期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到期日</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Times New Roman" w:hAnsi="Times New Roman" w:eastAsia="仿宋"/>
                <w:sz w:val="24"/>
              </w:rPr>
            </w:pPr>
            <w:r>
              <w:rPr>
                <w:rFonts w:ascii="Times New Roman" w:hAnsi="Times New Roman" w:eastAsia="仿宋"/>
                <w:sz w:val="24"/>
              </w:rPr>
              <w:t>同最后交易日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行权价格</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szCs w:val="21"/>
              </w:rPr>
            </w:pPr>
            <w:r>
              <w:rPr>
                <w:rFonts w:ascii="仿宋" w:hAnsi="仿宋" w:eastAsia="仿宋"/>
                <w:sz w:val="24"/>
              </w:rPr>
              <w:t>行权价格</w:t>
            </w:r>
            <w:r>
              <w:rPr>
                <w:rFonts w:hint="eastAsia" w:ascii="Times New Roman" w:hAnsi="Times New Roman" w:eastAsia="仿宋"/>
                <w:sz w:val="24"/>
              </w:rPr>
              <w:t>覆盖标的期货合约上一交易日结算价上下浮动</w:t>
            </w:r>
            <w:r>
              <w:rPr>
                <w:rFonts w:ascii="Times New Roman" w:hAnsi="Times New Roman" w:eastAsia="仿宋"/>
                <w:sz w:val="24"/>
              </w:rPr>
              <w:t>1.5倍当日涨跌停板幅度对应的价格范围</w:t>
            </w:r>
            <w:r>
              <w:rPr>
                <w:rFonts w:hint="eastAsia" w:ascii="仿宋" w:hAnsi="仿宋" w:eastAsia="仿宋"/>
                <w:sz w:val="24"/>
              </w:rPr>
              <w:t>。</w:t>
            </w:r>
            <w:r>
              <w:rPr>
                <w:rFonts w:ascii="仿宋" w:hAnsi="仿宋" w:eastAsia="仿宋"/>
                <w:sz w:val="24"/>
              </w:rPr>
              <w:t>行权价格</w:t>
            </w:r>
            <w:r>
              <w:rPr>
                <w:rFonts w:hint="eastAsia" w:ascii="仿宋" w:hAnsi="仿宋" w:eastAsia="仿宋"/>
                <w:sz w:val="24"/>
              </w:rPr>
              <w:t>≤</w:t>
            </w:r>
            <w:r>
              <w:rPr>
                <w:rFonts w:hint="eastAsia" w:ascii="Times New Roman" w:hAnsi="Times New Roman" w:eastAsia="仿宋"/>
                <w:sz w:val="24"/>
              </w:rPr>
              <w:t>1</w:t>
            </w:r>
            <w:r>
              <w:rPr>
                <w:rFonts w:ascii="Times New Roman" w:hAnsi="Times New Roman" w:eastAsia="仿宋"/>
                <w:sz w:val="24"/>
              </w:rPr>
              <w:t>000</w:t>
            </w:r>
            <w:r>
              <w:rPr>
                <w:rFonts w:ascii="仿宋" w:hAnsi="仿宋" w:eastAsia="仿宋"/>
                <w:sz w:val="24"/>
              </w:rPr>
              <w:t>元</w:t>
            </w:r>
            <w:r>
              <w:rPr>
                <w:rFonts w:ascii="Times New Roman" w:hAnsi="Times New Roman" w:eastAsia="仿宋"/>
                <w:sz w:val="24"/>
              </w:rPr>
              <w:t>/</w:t>
            </w:r>
            <w:r>
              <w:rPr>
                <w:rFonts w:ascii="仿宋" w:hAnsi="仿宋" w:eastAsia="仿宋"/>
                <w:sz w:val="24"/>
              </w:rPr>
              <w:t>吨，行权价格间距为</w:t>
            </w:r>
            <w:r>
              <w:rPr>
                <w:rFonts w:hint="eastAsia" w:ascii="Times New Roman" w:hAnsi="Times New Roman" w:eastAsia="仿宋"/>
                <w:sz w:val="24"/>
              </w:rPr>
              <w:t>1</w:t>
            </w:r>
            <w:r>
              <w:rPr>
                <w:rFonts w:ascii="Times New Roman" w:hAnsi="Times New Roman" w:eastAsia="仿宋"/>
                <w:sz w:val="24"/>
              </w:rPr>
              <w:t>0</w:t>
            </w:r>
            <w:r>
              <w:rPr>
                <w:rFonts w:ascii="仿宋" w:hAnsi="仿宋" w:eastAsia="仿宋"/>
                <w:sz w:val="24"/>
              </w:rPr>
              <w:t>元</w:t>
            </w:r>
            <w:r>
              <w:rPr>
                <w:rFonts w:ascii="Times New Roman" w:hAnsi="Times New Roman" w:eastAsia="仿宋"/>
                <w:sz w:val="24"/>
              </w:rPr>
              <w:t>/</w:t>
            </w:r>
            <w:r>
              <w:rPr>
                <w:rFonts w:ascii="仿宋" w:hAnsi="仿宋" w:eastAsia="仿宋"/>
                <w:sz w:val="24"/>
              </w:rPr>
              <w:t>吨；</w:t>
            </w:r>
            <w:r>
              <w:rPr>
                <w:rFonts w:hint="eastAsia" w:ascii="Times New Roman" w:hAnsi="Times New Roman" w:eastAsia="仿宋"/>
                <w:sz w:val="24"/>
              </w:rPr>
              <w:t>1000</w:t>
            </w:r>
            <w:r>
              <w:rPr>
                <w:rFonts w:hint="eastAsia" w:ascii="仿宋" w:hAnsi="仿宋" w:eastAsia="仿宋"/>
                <w:sz w:val="24"/>
              </w:rPr>
              <w:t>元</w:t>
            </w:r>
            <w:r>
              <w:rPr>
                <w:rFonts w:hint="eastAsia" w:ascii="Times New Roman" w:hAnsi="Times New Roman" w:eastAsia="仿宋"/>
                <w:sz w:val="24"/>
              </w:rPr>
              <w:t>/</w:t>
            </w:r>
            <w:r>
              <w:rPr>
                <w:rFonts w:hint="eastAsia" w:ascii="仿宋" w:hAnsi="仿宋" w:eastAsia="仿宋"/>
                <w:sz w:val="24"/>
              </w:rPr>
              <w:t>吨＜行权价格≤</w:t>
            </w:r>
            <w:r>
              <w:rPr>
                <w:rFonts w:hint="eastAsia" w:ascii="Times New Roman" w:hAnsi="Times New Roman" w:eastAsia="仿宋"/>
                <w:sz w:val="24"/>
              </w:rPr>
              <w:t>2000</w:t>
            </w:r>
            <w:r>
              <w:rPr>
                <w:rFonts w:hint="eastAsia" w:ascii="仿宋" w:hAnsi="仿宋" w:eastAsia="仿宋"/>
                <w:sz w:val="24"/>
              </w:rPr>
              <w:t>元</w:t>
            </w:r>
            <w:r>
              <w:rPr>
                <w:rFonts w:hint="eastAsia" w:ascii="Times New Roman" w:hAnsi="Times New Roman" w:eastAsia="仿宋"/>
                <w:sz w:val="24"/>
              </w:rPr>
              <w:t>/</w:t>
            </w:r>
            <w:r>
              <w:rPr>
                <w:rFonts w:hint="eastAsia" w:ascii="仿宋" w:hAnsi="仿宋" w:eastAsia="仿宋"/>
                <w:sz w:val="24"/>
              </w:rPr>
              <w:t>吨，行权价格间距为</w:t>
            </w:r>
            <w:r>
              <w:rPr>
                <w:rFonts w:hint="eastAsia" w:ascii="Times New Roman" w:hAnsi="Times New Roman" w:eastAsia="仿宋"/>
                <w:sz w:val="24"/>
              </w:rPr>
              <w:t>20</w:t>
            </w:r>
            <w:r>
              <w:rPr>
                <w:rFonts w:hint="eastAsia" w:ascii="仿宋" w:hAnsi="仿宋" w:eastAsia="仿宋"/>
                <w:sz w:val="24"/>
              </w:rPr>
              <w:t>元</w:t>
            </w:r>
            <w:r>
              <w:rPr>
                <w:rFonts w:hint="eastAsia" w:ascii="Times New Roman" w:hAnsi="Times New Roman" w:eastAsia="仿宋"/>
                <w:sz w:val="24"/>
              </w:rPr>
              <w:t>/</w:t>
            </w:r>
            <w:r>
              <w:rPr>
                <w:rFonts w:hint="eastAsia" w:ascii="仿宋" w:hAnsi="仿宋" w:eastAsia="仿宋"/>
                <w:sz w:val="24"/>
              </w:rPr>
              <w:t>吨；行权价格＞</w:t>
            </w:r>
            <w:r>
              <w:rPr>
                <w:rFonts w:hint="eastAsia" w:ascii="Times New Roman" w:hAnsi="Times New Roman" w:eastAsia="仿宋"/>
                <w:sz w:val="24"/>
              </w:rPr>
              <w:t>2000</w:t>
            </w:r>
            <w:r>
              <w:rPr>
                <w:rFonts w:hint="eastAsia" w:ascii="仿宋" w:hAnsi="仿宋" w:eastAsia="仿宋"/>
                <w:sz w:val="24"/>
              </w:rPr>
              <w:t>元</w:t>
            </w:r>
            <w:r>
              <w:rPr>
                <w:rFonts w:hint="eastAsia" w:ascii="Times New Roman" w:hAnsi="Times New Roman" w:eastAsia="仿宋"/>
                <w:sz w:val="24"/>
              </w:rPr>
              <w:t>/</w:t>
            </w:r>
            <w:r>
              <w:rPr>
                <w:rFonts w:hint="eastAsia" w:ascii="仿宋" w:hAnsi="仿宋" w:eastAsia="仿宋"/>
                <w:sz w:val="24"/>
              </w:rPr>
              <w:t>吨，行权价格间距为</w:t>
            </w:r>
            <w:r>
              <w:rPr>
                <w:rFonts w:hint="eastAsia" w:ascii="Times New Roman" w:hAnsi="Times New Roman" w:eastAsia="仿宋"/>
                <w:sz w:val="24"/>
              </w:rPr>
              <w:t>40</w:t>
            </w:r>
            <w:r>
              <w:rPr>
                <w:rFonts w:hint="eastAsia" w:ascii="仿宋" w:hAnsi="仿宋" w:eastAsia="仿宋"/>
                <w:sz w:val="24"/>
              </w:rPr>
              <w:t>元</w:t>
            </w:r>
            <w:r>
              <w:rPr>
                <w:rFonts w:hint="eastAsia" w:ascii="Times New Roman" w:hAnsi="Times New Roman" w:eastAsia="仿宋"/>
                <w:sz w:val="24"/>
              </w:rPr>
              <w:t>/</w:t>
            </w:r>
            <w:r>
              <w:rPr>
                <w:rFonts w:hint="eastAsia" w:ascii="仿宋" w:hAnsi="仿宋" w:eastAsia="仿宋"/>
                <w:sz w:val="24"/>
              </w:rPr>
              <w:t>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行权方式</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eastAsia="仿宋"/>
                <w:sz w:val="24"/>
              </w:rPr>
            </w:pPr>
            <w:r>
              <w:rPr>
                <w:rFonts w:ascii="Times New Roman" w:hAnsi="Times New Roman" w:eastAsia="仿宋"/>
                <w:sz w:val="24"/>
              </w:rPr>
              <w:t>美式。买方可在到期日前任一交易日的交易时间提交行权申请；买方可在到期日15:30之前提交行权申请、放弃申请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交易代码</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eastAsia="仿宋"/>
                <w:sz w:val="24"/>
              </w:rPr>
            </w:pPr>
            <w:r>
              <w:rPr>
                <w:rFonts w:ascii="Times New Roman" w:hAnsi="Times New Roman" w:eastAsia="仿宋"/>
                <w:sz w:val="24"/>
              </w:rPr>
              <w:t>看涨期权：SA</w:t>
            </w:r>
            <w:r>
              <w:rPr>
                <w:rFonts w:ascii="仿宋" w:hAnsi="仿宋" w:eastAsia="仿宋"/>
                <w:sz w:val="24"/>
              </w:rPr>
              <w:t>-</w:t>
            </w:r>
            <w:r>
              <w:rPr>
                <w:rFonts w:ascii="Times New Roman" w:hAnsi="Times New Roman" w:eastAsia="仿宋"/>
                <w:sz w:val="24"/>
              </w:rPr>
              <w:t>合约月份</w:t>
            </w:r>
            <w:r>
              <w:rPr>
                <w:rFonts w:ascii="仿宋" w:hAnsi="仿宋" w:eastAsia="仿宋"/>
                <w:sz w:val="24"/>
              </w:rPr>
              <w:t>-</w:t>
            </w:r>
            <w:r>
              <w:rPr>
                <w:rFonts w:ascii="Times New Roman" w:hAnsi="Times New Roman" w:eastAsia="仿宋"/>
                <w:sz w:val="24"/>
              </w:rPr>
              <w:t>C</w:t>
            </w:r>
            <w:r>
              <w:rPr>
                <w:rFonts w:ascii="仿宋" w:hAnsi="仿宋" w:eastAsia="仿宋"/>
                <w:sz w:val="24"/>
              </w:rPr>
              <w:t>-</w:t>
            </w:r>
            <w:r>
              <w:rPr>
                <w:rFonts w:ascii="Times New Roman" w:hAnsi="Times New Roman" w:eastAsia="仿宋"/>
                <w:sz w:val="24"/>
              </w:rPr>
              <w:t>行权价格</w:t>
            </w:r>
          </w:p>
          <w:p>
            <w:pPr>
              <w:suppressAutoHyphens/>
              <w:bidi w:val="0"/>
              <w:rPr>
                <w:rFonts w:ascii="Times New Roman" w:hAnsi="Times New Roman" w:eastAsia="仿宋"/>
                <w:sz w:val="24"/>
              </w:rPr>
            </w:pPr>
            <w:r>
              <w:rPr>
                <w:rFonts w:ascii="Times New Roman" w:hAnsi="Times New Roman" w:eastAsia="仿宋"/>
                <w:sz w:val="24"/>
              </w:rPr>
              <w:t>看跌期权：SA</w:t>
            </w:r>
            <w:r>
              <w:rPr>
                <w:rFonts w:ascii="仿宋" w:hAnsi="仿宋" w:eastAsia="仿宋"/>
                <w:sz w:val="24"/>
              </w:rPr>
              <w:t>-</w:t>
            </w:r>
            <w:r>
              <w:rPr>
                <w:rFonts w:ascii="Times New Roman" w:hAnsi="Times New Roman" w:eastAsia="仿宋"/>
                <w:sz w:val="24"/>
              </w:rPr>
              <w:t>合约月份</w:t>
            </w:r>
            <w:r>
              <w:rPr>
                <w:rFonts w:ascii="仿宋" w:hAnsi="仿宋" w:eastAsia="仿宋"/>
                <w:sz w:val="24"/>
              </w:rPr>
              <w:t>-</w:t>
            </w:r>
            <w:r>
              <w:rPr>
                <w:rFonts w:ascii="Times New Roman" w:hAnsi="Times New Roman" w:eastAsia="仿宋"/>
                <w:sz w:val="24"/>
              </w:rPr>
              <w:t>P</w:t>
            </w:r>
            <w:r>
              <w:rPr>
                <w:rFonts w:ascii="仿宋" w:hAnsi="仿宋" w:eastAsia="仿宋"/>
                <w:sz w:val="24"/>
              </w:rPr>
              <w:t>-</w:t>
            </w:r>
            <w:r>
              <w:rPr>
                <w:rFonts w:ascii="Times New Roman" w:hAnsi="Times New Roman" w:eastAsia="仿宋"/>
                <w:sz w:val="24"/>
              </w:rPr>
              <w:t>行权价格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bidi w:val="0"/>
              <w:jc w:val="left"/>
              <w:rPr>
                <w:rFonts w:ascii="仿宋" w:hAnsi="仿宋" w:eastAsia="仿宋"/>
                <w:sz w:val="24"/>
              </w:rPr>
            </w:pPr>
            <w:r>
              <w:rPr>
                <w:rFonts w:ascii="仿宋" w:hAnsi="仿宋" w:eastAsia="仿宋"/>
                <w:sz w:val="24"/>
              </w:rPr>
              <w:t>上市交易所</w:t>
            </w:r>
          </w:p>
        </w:tc>
        <w:tc>
          <w:tcPr>
            <w:tcW w:w="6813" w:type="dxa"/>
            <w:tcBorders>
              <w:top w:val="single" w:color="auto" w:sz="4" w:space="0"/>
              <w:left w:val="single" w:color="auto" w:sz="4" w:space="0"/>
              <w:bottom w:val="single" w:color="auto" w:sz="4" w:space="0"/>
              <w:right w:val="single" w:color="auto" w:sz="4" w:space="0"/>
            </w:tcBorders>
            <w:noWrap w:val="0"/>
            <w:vAlign w:val="center"/>
          </w:tcPr>
          <w:p>
            <w:pPr>
              <w:suppressAutoHyphens/>
              <w:bidi w:val="0"/>
              <w:rPr>
                <w:rFonts w:ascii="Times New Roman" w:hAnsi="Times New Roman" w:eastAsia="仿宋"/>
                <w:sz w:val="24"/>
              </w:rPr>
            </w:pPr>
            <w:r>
              <w:rPr>
                <w:rFonts w:ascii="Times New Roman" w:hAnsi="Times New Roman" w:eastAsia="仿宋"/>
                <w:sz w:val="24"/>
              </w:rPr>
              <w:t>郑州商品交易所</w:t>
            </w:r>
          </w:p>
        </w:tc>
      </w:tr>
    </w:tbl>
    <w:p>
      <w:pPr>
        <w:suppressAutoHyphens/>
        <w:bidi w:val="0"/>
        <w:ind w:firstLine="640" w:firstLineChars="200"/>
        <w:jc w:val="left"/>
        <w:outlineLvl w:val="1"/>
        <w:rPr>
          <w:rFonts w:ascii="黑体" w:hAnsi="仿宋" w:eastAsia="黑体"/>
          <w:sz w:val="32"/>
          <w:szCs w:val="32"/>
        </w:rPr>
      </w:pPr>
      <w:r>
        <w:rPr>
          <w:rFonts w:hint="eastAsia" w:ascii="黑体" w:hAnsi="仿宋" w:eastAsia="黑体"/>
          <w:sz w:val="32"/>
          <w:szCs w:val="32"/>
        </w:rPr>
        <w:t>二、主要条款设计说明</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（一）交易单位：1手纯碱期货合约</w:t>
      </w:r>
    </w:p>
    <w:p>
      <w:pPr>
        <w:suppressAutoHyphens/>
        <w:bidi w:val="0"/>
        <w:adjustRightInd w:val="0"/>
        <w:ind w:firstLine="640" w:firstLineChars="200"/>
        <w:rPr>
          <w:rFonts w:ascii="仿宋" w:hAnsi="仿宋" w:eastAsia="仿宋"/>
          <w:sz w:val="32"/>
          <w:szCs w:val="32"/>
        </w:rPr>
      </w:pPr>
      <w:r>
        <w:rPr>
          <w:rFonts w:ascii="仿宋" w:hAnsi="仿宋" w:eastAsia="仿宋"/>
          <w:sz w:val="32"/>
          <w:szCs w:val="32"/>
        </w:rPr>
        <w:t>期权合约</w:t>
      </w:r>
      <w:r>
        <w:rPr>
          <w:rFonts w:hint="eastAsia" w:ascii="仿宋" w:hAnsi="仿宋" w:eastAsia="仿宋"/>
          <w:sz w:val="32"/>
          <w:szCs w:val="32"/>
        </w:rPr>
        <w:t>的交易</w:t>
      </w:r>
      <w:r>
        <w:rPr>
          <w:rFonts w:ascii="仿宋" w:hAnsi="仿宋" w:eastAsia="仿宋"/>
          <w:sz w:val="32"/>
          <w:szCs w:val="32"/>
        </w:rPr>
        <w:t>单位是指每一交易单位对应标</w:t>
      </w:r>
      <w:r>
        <w:rPr>
          <w:rFonts w:hint="eastAsia" w:ascii="仿宋" w:hAnsi="仿宋" w:eastAsia="仿宋"/>
          <w:sz w:val="32"/>
          <w:szCs w:val="32"/>
        </w:rPr>
        <w:t>的</w:t>
      </w:r>
      <w:r>
        <w:rPr>
          <w:rFonts w:ascii="仿宋" w:hAnsi="仿宋" w:eastAsia="仿宋"/>
          <w:sz w:val="32"/>
          <w:szCs w:val="32"/>
        </w:rPr>
        <w:t>物数量。</w:t>
      </w:r>
      <w:r>
        <w:rPr>
          <w:rFonts w:hint="eastAsia" w:ascii="仿宋" w:hAnsi="仿宋" w:eastAsia="仿宋"/>
          <w:sz w:val="32"/>
          <w:szCs w:val="32"/>
        </w:rPr>
        <w:t>设置纯碱</w:t>
      </w:r>
      <w:r>
        <w:rPr>
          <w:rFonts w:ascii="仿宋" w:hAnsi="仿宋" w:eastAsia="仿宋"/>
          <w:sz w:val="32"/>
          <w:szCs w:val="32"/>
        </w:rPr>
        <w:t>期权交易单位为</w:t>
      </w:r>
      <w:r>
        <w:rPr>
          <w:rFonts w:ascii="Times New Roman" w:hAnsi="Times New Roman" w:eastAsia="仿宋"/>
          <w:sz w:val="32"/>
          <w:szCs w:val="32"/>
        </w:rPr>
        <w:t>1</w:t>
      </w:r>
      <w:r>
        <w:rPr>
          <w:rFonts w:hint="eastAsia" w:ascii="仿宋" w:hAnsi="仿宋" w:eastAsia="仿宋"/>
          <w:sz w:val="32"/>
          <w:szCs w:val="32"/>
        </w:rPr>
        <w:t>手纯碱</w:t>
      </w:r>
      <w:r>
        <w:rPr>
          <w:rFonts w:ascii="仿宋" w:hAnsi="仿宋" w:eastAsia="仿宋"/>
          <w:sz w:val="32"/>
          <w:szCs w:val="32"/>
        </w:rPr>
        <w:t>期货合约，</w:t>
      </w:r>
      <w:r>
        <w:rPr>
          <w:rFonts w:hint="eastAsia" w:ascii="仿宋" w:hAnsi="仿宋" w:eastAsia="仿宋"/>
          <w:sz w:val="32"/>
          <w:szCs w:val="32"/>
        </w:rPr>
        <w:t>方便</w:t>
      </w:r>
      <w:r>
        <w:rPr>
          <w:rFonts w:hint="eastAsia" w:ascii="仿宋" w:hAnsi="仿宋" w:eastAsia="仿宋"/>
          <w:sz w:val="32"/>
          <w:szCs w:val="32"/>
          <w:lang w:eastAsia="zh-CN"/>
        </w:rPr>
        <w:t>交易者</w:t>
      </w:r>
      <w:r>
        <w:rPr>
          <w:rFonts w:hint="eastAsia" w:ascii="仿宋" w:hAnsi="仿宋" w:eastAsia="仿宋"/>
          <w:sz w:val="32"/>
          <w:szCs w:val="32"/>
        </w:rPr>
        <w:t>对冲</w:t>
      </w:r>
      <w:r>
        <w:rPr>
          <w:rFonts w:ascii="仿宋" w:hAnsi="仿宋" w:eastAsia="仿宋"/>
          <w:sz w:val="32"/>
          <w:szCs w:val="32"/>
        </w:rPr>
        <w:t>期货部位风险。</w:t>
      </w:r>
    </w:p>
    <w:p>
      <w:pPr>
        <w:widowControl w:val="0"/>
        <w:adjustRightInd w:val="0"/>
        <w:spacing w:line="360" w:lineRule="auto"/>
        <w:ind w:firstLine="640" w:firstLineChars="200"/>
        <w:jc w:val="both"/>
        <w:outlineLvl w:val="2"/>
        <w:rPr>
          <w:rFonts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（二）报价单位：元（人民币）</w:t>
      </w:r>
      <w:r>
        <w:rPr>
          <w:rFonts w:ascii="Times New Roman" w:hAnsi="Times New Roman" w:eastAsia="楷体" w:cs="Times New Roman"/>
          <w:kern w:val="2"/>
          <w:sz w:val="32"/>
          <w:szCs w:val="32"/>
          <w:lang w:val="en-US" w:eastAsia="zh-CN" w:bidi="ar-SA"/>
        </w:rPr>
        <w:t>/</w:t>
      </w:r>
      <w:r>
        <w:rPr>
          <w:rFonts w:hint="eastAsia" w:ascii="楷体" w:hAnsi="楷体" w:eastAsia="楷体" w:cs="Times New Roman"/>
          <w:kern w:val="2"/>
          <w:sz w:val="32"/>
          <w:szCs w:val="32"/>
          <w:lang w:val="en-US" w:eastAsia="zh-CN" w:bidi="ar-SA"/>
        </w:rPr>
        <w:t>吨</w:t>
      </w:r>
    </w:p>
    <w:p>
      <w:pPr>
        <w:widowControl w:val="0"/>
        <w:adjustRightIn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期权报价单位一般与标的期货报价单位保持一致。与纯碱期货合约报价单位相同，纯碱期权合约报价单位为元（人民币）</w:t>
      </w:r>
      <w:r>
        <w:rPr>
          <w:rFonts w:hint="default" w:ascii="Times New Roman" w:hAnsi="Times New Roman"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吨。</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（三）最小变动价位：0.5元/吨</w:t>
      </w:r>
    </w:p>
    <w:p>
      <w:pPr>
        <w:suppressAutoHyphens/>
        <w:bidi w:val="0"/>
        <w:adjustRightInd w:val="0"/>
        <w:ind w:firstLine="640" w:firstLineChars="200"/>
        <w:rPr>
          <w:rFonts w:ascii="仿宋" w:hAnsi="仿宋" w:eastAsia="仿宋"/>
          <w:sz w:val="32"/>
          <w:szCs w:val="32"/>
        </w:rPr>
      </w:pPr>
      <w:r>
        <w:rPr>
          <w:rFonts w:ascii="Times New Roman" w:hAnsi="Times New Roman" w:eastAsia="仿宋"/>
          <w:sz w:val="32"/>
          <w:szCs w:val="32"/>
        </w:rPr>
        <w:t>期权最小变动价位是指期权合约单位价格涨跌变动的最小值。从国内期权市场运行情况来看，Delta</w:t>
      </w:r>
      <w:r>
        <w:rPr>
          <w:rFonts w:hint="eastAsia" w:ascii="Times New Roman" w:hAnsi="Times New Roman" w:eastAsia="仿宋"/>
          <w:sz w:val="32"/>
          <w:szCs w:val="32"/>
        </w:rPr>
        <w:t>绝对</w:t>
      </w:r>
      <w:r>
        <w:rPr>
          <w:rFonts w:ascii="Times New Roman" w:hAnsi="Times New Roman" w:eastAsia="仿宋"/>
          <w:sz w:val="32"/>
          <w:szCs w:val="32"/>
        </w:rPr>
        <w:t>值在0.2至0.5之间</w:t>
      </w:r>
      <w:r>
        <w:rPr>
          <w:rFonts w:hint="eastAsia" w:ascii="Times New Roman" w:hAnsi="Times New Roman" w:eastAsia="仿宋"/>
          <w:sz w:val="32"/>
          <w:szCs w:val="32"/>
        </w:rPr>
        <w:t>的</w:t>
      </w:r>
      <w:r>
        <w:rPr>
          <w:rFonts w:ascii="Times New Roman" w:hAnsi="Times New Roman" w:eastAsia="仿宋"/>
          <w:sz w:val="32"/>
          <w:szCs w:val="32"/>
        </w:rPr>
        <w:t>虚值、平值期权合约较为活跃，即期权价格波动约为期货的1/5至1/2。纯碱期权与期货最小变动价位（1元/吨）之比为1/2，在此范围内，</w:t>
      </w:r>
      <w:r>
        <w:rPr>
          <w:rFonts w:hint="eastAsia" w:ascii="Times New Roman" w:hAnsi="Times New Roman" w:eastAsia="仿宋"/>
          <w:sz w:val="32"/>
          <w:szCs w:val="32"/>
        </w:rPr>
        <w:t>可以满足市场交易需求</w:t>
      </w:r>
      <w:r>
        <w:rPr>
          <w:rFonts w:ascii="Times New Roman" w:hAnsi="Times New Roman" w:eastAsia="仿宋"/>
          <w:sz w:val="32"/>
          <w:szCs w:val="32"/>
        </w:rPr>
        <w:t>。</w:t>
      </w:r>
    </w:p>
    <w:p>
      <w:pPr>
        <w:widowControl w:val="0"/>
        <w:adjustRightInd w:val="0"/>
        <w:spacing w:line="360" w:lineRule="auto"/>
        <w:ind w:firstLine="640" w:firstLineChars="200"/>
        <w:jc w:val="both"/>
        <w:outlineLvl w:val="2"/>
        <w:rPr>
          <w:rFonts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（四）涨跌停板幅度：与标的期货涨跌停板幅度相同</w:t>
      </w:r>
    </w:p>
    <w:p>
      <w:pPr>
        <w:suppressAutoHyphens/>
        <w:bidi w:val="0"/>
        <w:adjustRightInd w:val="0"/>
        <w:ind w:firstLine="640" w:firstLineChars="200"/>
        <w:rPr>
          <w:rFonts w:ascii="仿宋" w:hAnsi="仿宋" w:eastAsia="仿宋"/>
          <w:sz w:val="32"/>
          <w:szCs w:val="32"/>
        </w:rPr>
      </w:pPr>
      <w:r>
        <w:rPr>
          <w:rFonts w:hint="eastAsia" w:ascii="仿宋" w:hAnsi="仿宋" w:eastAsia="仿宋"/>
          <w:sz w:val="32"/>
          <w:szCs w:val="32"/>
        </w:rPr>
        <w:t>纯碱</w:t>
      </w:r>
      <w:r>
        <w:rPr>
          <w:rFonts w:ascii="仿宋" w:hAnsi="仿宋" w:eastAsia="仿宋"/>
          <w:sz w:val="32"/>
          <w:szCs w:val="32"/>
        </w:rPr>
        <w:t>期权合约涨跌停板幅度与</w:t>
      </w:r>
      <w:r>
        <w:rPr>
          <w:rFonts w:hint="eastAsia" w:ascii="仿宋" w:hAnsi="仿宋" w:eastAsia="仿宋"/>
          <w:sz w:val="32"/>
          <w:szCs w:val="32"/>
        </w:rPr>
        <w:t>标的</w:t>
      </w:r>
      <w:r>
        <w:rPr>
          <w:rFonts w:ascii="仿宋" w:hAnsi="仿宋" w:eastAsia="仿宋"/>
          <w:sz w:val="32"/>
          <w:szCs w:val="32"/>
        </w:rPr>
        <w:t>期货相同</w:t>
      </w:r>
      <w:r>
        <w:rPr>
          <w:rFonts w:hint="eastAsia" w:ascii="仿宋" w:hAnsi="仿宋" w:eastAsia="仿宋"/>
          <w:sz w:val="32"/>
          <w:szCs w:val="32"/>
        </w:rPr>
        <w:t>,</w:t>
      </w:r>
      <w:r>
        <w:rPr>
          <w:rFonts w:ascii="仿宋" w:hAnsi="仿宋" w:eastAsia="仿宋"/>
          <w:sz w:val="32"/>
          <w:szCs w:val="32"/>
        </w:rPr>
        <w:t>这里的相同是指绝对数相同，即期权</w:t>
      </w:r>
      <w:r>
        <w:rPr>
          <w:rFonts w:hint="eastAsia" w:ascii="仿宋" w:hAnsi="仿宋" w:eastAsia="仿宋"/>
          <w:sz w:val="32"/>
          <w:szCs w:val="32"/>
        </w:rPr>
        <w:t>合约</w:t>
      </w:r>
      <w:r>
        <w:rPr>
          <w:rFonts w:ascii="仿宋" w:hAnsi="仿宋" w:eastAsia="仿宋"/>
          <w:sz w:val="32"/>
          <w:szCs w:val="32"/>
        </w:rPr>
        <w:t>的涨跌停板幅度按标的期货</w:t>
      </w:r>
      <w:r>
        <w:rPr>
          <w:rFonts w:hint="eastAsia" w:ascii="仿宋" w:hAnsi="仿宋" w:eastAsia="仿宋"/>
          <w:sz w:val="32"/>
          <w:szCs w:val="32"/>
        </w:rPr>
        <w:t>合约的</w:t>
      </w:r>
      <w:r>
        <w:rPr>
          <w:rFonts w:ascii="仿宋" w:hAnsi="仿宋" w:eastAsia="仿宋"/>
          <w:sz w:val="32"/>
          <w:szCs w:val="32"/>
        </w:rPr>
        <w:t>结算价和价幅比例计算。当期权权利金小于</w:t>
      </w:r>
      <w:r>
        <w:rPr>
          <w:rFonts w:hint="eastAsia" w:ascii="仿宋" w:hAnsi="仿宋" w:eastAsia="仿宋"/>
          <w:sz w:val="32"/>
          <w:szCs w:val="32"/>
        </w:rPr>
        <w:t>涨跌</w:t>
      </w:r>
      <w:r>
        <w:rPr>
          <w:rFonts w:ascii="仿宋" w:hAnsi="仿宋" w:eastAsia="仿宋"/>
          <w:sz w:val="32"/>
          <w:szCs w:val="32"/>
        </w:rPr>
        <w:t>停板幅度时，跌停板价格取</w:t>
      </w:r>
      <w:r>
        <w:rPr>
          <w:rFonts w:hint="eastAsia" w:ascii="仿宋" w:hAnsi="仿宋" w:eastAsia="仿宋"/>
          <w:sz w:val="32"/>
          <w:szCs w:val="32"/>
        </w:rPr>
        <w:t>期权合约的</w:t>
      </w:r>
      <w:r>
        <w:rPr>
          <w:rFonts w:ascii="仿宋" w:hAnsi="仿宋" w:eastAsia="仿宋"/>
          <w:sz w:val="32"/>
          <w:szCs w:val="32"/>
        </w:rPr>
        <w:t>最小变动价位。</w:t>
      </w:r>
    </w:p>
    <w:p>
      <w:pPr>
        <w:widowControl w:val="0"/>
        <w:adjustRightInd w:val="0"/>
        <w:spacing w:line="360" w:lineRule="auto"/>
        <w:ind w:firstLine="640" w:firstLineChars="200"/>
        <w:jc w:val="both"/>
        <w:outlineLvl w:val="2"/>
        <w:rPr>
          <w:rFonts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（五）合约月份：两个近月</w:t>
      </w:r>
      <w:r>
        <w:rPr>
          <w:rFonts w:hint="default" w:ascii="Times New Roman" w:hAnsi="Times New Roman" w:eastAsia="仿宋" w:cs="Times New Roman"/>
          <w:kern w:val="2"/>
          <w:sz w:val="32"/>
          <w:szCs w:val="32"/>
          <w:lang w:val="en-US" w:eastAsia="zh-CN" w:bidi="ar-SA"/>
        </w:rPr>
        <w:t>+</w:t>
      </w:r>
      <w:r>
        <w:rPr>
          <w:rFonts w:hint="eastAsia" w:ascii="楷体" w:hAnsi="楷体" w:eastAsia="楷体" w:cs="Times New Roman"/>
          <w:kern w:val="2"/>
          <w:sz w:val="32"/>
          <w:szCs w:val="32"/>
          <w:lang w:val="en-US" w:eastAsia="zh-CN" w:bidi="ar-SA"/>
        </w:rPr>
        <w:t>活跃月份</w:t>
      </w:r>
    </w:p>
    <w:p>
      <w:pPr>
        <w:widowControl w:val="0"/>
        <w:adjustRightInd w:val="0"/>
        <w:spacing w:line="360" w:lineRule="auto"/>
        <w:ind w:firstLine="640" w:firstLineChars="200"/>
        <w:jc w:val="both"/>
        <w:rPr>
          <w:rFonts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纯碱期权合约月份规定为两个近月及持仓量超过10000手（单边）的活跃月份，既能及时满足市场交易需求，也有利于集中市场流动性，提高市场运行效率。</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（六）最后交易日</w:t>
      </w:r>
      <w:r>
        <w:rPr>
          <w:rFonts w:ascii="Times New Roman" w:hAnsi="Times New Roman" w:eastAsia="仿宋" w:cs="Times New Roman"/>
          <w:kern w:val="2"/>
          <w:sz w:val="32"/>
          <w:szCs w:val="32"/>
          <w:lang w:val="en-US" w:eastAsia="zh-CN" w:bidi="ar-SA"/>
        </w:rPr>
        <w:t>/</w:t>
      </w:r>
      <w:r>
        <w:rPr>
          <w:rFonts w:ascii="Times New Roman" w:hAnsi="Times New Roman" w:eastAsia="楷体" w:cs="Times New Roman"/>
          <w:kern w:val="2"/>
          <w:sz w:val="32"/>
          <w:szCs w:val="32"/>
          <w:lang w:val="en-US" w:eastAsia="zh-CN" w:bidi="ar-SA"/>
        </w:rPr>
        <w:t>到期日：标的期货合约交割月份前一个月第15个日历日之前（含该日）的倒数第3个交易日</w:t>
      </w:r>
    </w:p>
    <w:p>
      <w:pPr>
        <w:widowControl w:val="0"/>
        <w:adjustRightInd w:val="0"/>
        <w:spacing w:line="360" w:lineRule="auto"/>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纯碱期权到期日为交割月份前一个月第15个日历日之前（含该日）的倒数第3个交易日，与</w:t>
      </w:r>
      <w:r>
        <w:rPr>
          <w:rFonts w:hint="eastAsia" w:ascii="Times New Roman" w:hAnsi="Times New Roman" w:eastAsia="仿宋" w:cs="Times New Roman"/>
          <w:kern w:val="2"/>
          <w:sz w:val="32"/>
          <w:szCs w:val="32"/>
          <w:lang w:val="en-US" w:eastAsia="zh-CN" w:bidi="ar-SA"/>
        </w:rPr>
        <w:t>郑州商品交易所</w:t>
      </w:r>
      <w:r>
        <w:rPr>
          <w:rFonts w:ascii="Times New Roman" w:hAnsi="Times New Roman" w:eastAsia="仿宋" w:cs="Times New Roman"/>
          <w:kern w:val="2"/>
          <w:sz w:val="32"/>
          <w:szCs w:val="32"/>
          <w:lang w:val="en-US" w:eastAsia="zh-CN" w:bidi="ar-SA"/>
        </w:rPr>
        <w:t>已上市期权现行合约规则保持一致，方便会员公司到期日行权业务操作，有利于</w:t>
      </w:r>
      <w:r>
        <w:rPr>
          <w:rFonts w:hint="eastAsia" w:ascii="Times New Roman" w:hAnsi="Times New Roman" w:eastAsia="仿宋" w:cs="Times New Roman"/>
          <w:kern w:val="2"/>
          <w:sz w:val="32"/>
          <w:szCs w:val="32"/>
          <w:lang w:val="en-US" w:eastAsia="zh-CN" w:bidi="ar-SA"/>
        </w:rPr>
        <w:t>交易者</w:t>
      </w:r>
      <w:r>
        <w:rPr>
          <w:rFonts w:ascii="Times New Roman" w:hAnsi="Times New Roman" w:eastAsia="仿宋" w:cs="Times New Roman"/>
          <w:kern w:val="2"/>
          <w:sz w:val="32"/>
          <w:szCs w:val="32"/>
          <w:lang w:val="en-US" w:eastAsia="zh-CN" w:bidi="ar-SA"/>
        </w:rPr>
        <w:t>熟悉掌握。一方面，期权到期日尽量接近标的期货交割月，有利于企业更好地使用期权开展套期保值；另一方面，期权在标的期货交割月前一个月梯度限仓调整前到期，可以降低期权行权对期货交割月运行的影响。</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（七）行权价格数量：覆盖标的期货合约上一交易日结算价上下浮动1.5倍当日涨跌停板幅度对应的价格范围</w:t>
      </w:r>
    </w:p>
    <w:p>
      <w:pPr>
        <w:suppressAutoHyphens/>
        <w:bidi w:val="0"/>
        <w:adjustRightInd w:val="0"/>
        <w:ind w:firstLine="640" w:firstLineChars="200"/>
        <w:rPr>
          <w:rFonts w:ascii="仿宋" w:hAnsi="仿宋" w:eastAsia="仿宋"/>
          <w:sz w:val="32"/>
          <w:szCs w:val="32"/>
        </w:rPr>
      </w:pPr>
      <w:r>
        <w:rPr>
          <w:rFonts w:ascii="Times New Roman" w:hAnsi="Times New Roman" w:eastAsia="仿宋"/>
          <w:sz w:val="32"/>
          <w:szCs w:val="32"/>
        </w:rPr>
        <w:t>行权价格数量过多，不利于集中市场流动性</w:t>
      </w:r>
      <w:r>
        <w:rPr>
          <w:rFonts w:hint="eastAsia" w:ascii="Times New Roman" w:hAnsi="Times New Roman" w:eastAsia="仿宋"/>
          <w:sz w:val="32"/>
          <w:szCs w:val="32"/>
        </w:rPr>
        <w:t>；</w:t>
      </w:r>
      <w:r>
        <w:rPr>
          <w:rFonts w:ascii="Times New Roman" w:hAnsi="Times New Roman" w:eastAsia="仿宋"/>
          <w:sz w:val="32"/>
          <w:szCs w:val="32"/>
        </w:rPr>
        <w:t>数量过少，不能有效覆盖标的期货价格波动范围。将行权价格数量与标的期货涨跌停板幅度挂钩，在标的期货价格波动较大时，可以有效覆盖标的期货价格波动范围，满足</w:t>
      </w:r>
      <w:r>
        <w:rPr>
          <w:rFonts w:hint="eastAsia" w:ascii="Times New Roman" w:hAnsi="Times New Roman" w:eastAsia="仿宋"/>
          <w:sz w:val="32"/>
          <w:szCs w:val="32"/>
          <w:lang w:eastAsia="zh-CN"/>
        </w:rPr>
        <w:t>交易者</w:t>
      </w:r>
      <w:r>
        <w:rPr>
          <w:rFonts w:ascii="Times New Roman" w:hAnsi="Times New Roman" w:eastAsia="仿宋"/>
          <w:sz w:val="32"/>
          <w:szCs w:val="32"/>
        </w:rPr>
        <w:t>对虚值、平值、实值期权的避险需求。随着标的期货价格变动，到期日前的每一个交易日将根据上一交易日标的期货结算价上下浮动1.5倍当日涨跌停板幅度对应的价格范围，增挂新行权价格的期权合约。</w:t>
      </w:r>
      <w:r>
        <w:rPr>
          <w:rFonts w:hint="eastAsia" w:ascii="Times New Roman" w:hAnsi="Times New Roman" w:eastAsia="仿宋"/>
          <w:sz w:val="32"/>
          <w:szCs w:val="32"/>
        </w:rPr>
        <w:t>到期日前一交易日闭市后不再挂牌新行权价格的期权合约。</w:t>
      </w:r>
    </w:p>
    <w:p>
      <w:pPr>
        <w:widowControl w:val="0"/>
        <w:adjustRightInd w:val="0"/>
        <w:spacing w:line="360" w:lineRule="auto"/>
        <w:ind w:firstLine="640" w:firstLineChars="200"/>
        <w:jc w:val="both"/>
        <w:outlineLvl w:val="2"/>
        <w:rPr>
          <w:rFonts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（八）行权价格间距：根据行权价格分段设置</w:t>
      </w:r>
    </w:p>
    <w:p>
      <w:pPr>
        <w:suppressAutoHyphens/>
        <w:bidi w:val="0"/>
        <w:adjustRightInd w:val="0"/>
        <w:ind w:firstLine="640" w:firstLineChars="200"/>
        <w:rPr>
          <w:rFonts w:ascii="Times New Roman" w:hAnsi="Times New Roman" w:eastAsia="仿宋"/>
          <w:sz w:val="32"/>
        </w:rPr>
      </w:pPr>
      <w:r>
        <w:rPr>
          <w:rFonts w:ascii="Times New Roman" w:hAnsi="Times New Roman" w:eastAsia="仿宋"/>
          <w:sz w:val="32"/>
        </w:rPr>
        <w:t>行权价格间距的设计主要考虑期现货价格水平及波动程度。行权价格间距越小，</w:t>
      </w:r>
      <w:r>
        <w:rPr>
          <w:rFonts w:hint="eastAsia" w:ascii="Times New Roman" w:hAnsi="Times New Roman" w:eastAsia="仿宋"/>
          <w:sz w:val="32"/>
        </w:rPr>
        <w:t>相同行权价格范围内</w:t>
      </w:r>
      <w:r>
        <w:rPr>
          <w:rFonts w:ascii="Times New Roman" w:hAnsi="Times New Roman" w:eastAsia="仿宋"/>
          <w:sz w:val="32"/>
        </w:rPr>
        <w:t>对应的期权合约数量越多，不利于集中市场流动性；行权价格间距越大，对应</w:t>
      </w:r>
      <w:r>
        <w:rPr>
          <w:rFonts w:hint="eastAsia" w:ascii="Times New Roman" w:hAnsi="Times New Roman" w:eastAsia="仿宋"/>
          <w:sz w:val="32"/>
        </w:rPr>
        <w:t>的</w:t>
      </w:r>
      <w:r>
        <w:rPr>
          <w:rFonts w:ascii="Times New Roman" w:hAnsi="Times New Roman" w:eastAsia="仿宋"/>
          <w:sz w:val="32"/>
        </w:rPr>
        <w:t>期权合约数量越少，可供</w:t>
      </w:r>
      <w:r>
        <w:rPr>
          <w:rFonts w:hint="eastAsia" w:ascii="Times New Roman" w:hAnsi="Times New Roman" w:eastAsia="仿宋"/>
          <w:sz w:val="32"/>
          <w:lang w:eastAsia="zh-CN"/>
        </w:rPr>
        <w:t>交易者</w:t>
      </w:r>
      <w:r>
        <w:rPr>
          <w:rFonts w:ascii="Times New Roman" w:hAnsi="Times New Roman" w:eastAsia="仿宋"/>
          <w:sz w:val="32"/>
        </w:rPr>
        <w:t>选择的行权价格也越少，难以满足不同交易者</w:t>
      </w:r>
      <w:r>
        <w:rPr>
          <w:rFonts w:hint="eastAsia" w:ascii="Times New Roman" w:hAnsi="Times New Roman" w:eastAsia="仿宋"/>
          <w:sz w:val="32"/>
          <w:lang w:eastAsia="zh-CN"/>
        </w:rPr>
        <w:t>的</w:t>
      </w:r>
      <w:r>
        <w:rPr>
          <w:rFonts w:ascii="Times New Roman" w:hAnsi="Times New Roman" w:eastAsia="仿宋"/>
          <w:sz w:val="32"/>
        </w:rPr>
        <w:t>需要。</w:t>
      </w:r>
    </w:p>
    <w:p>
      <w:pPr>
        <w:suppressAutoHyphens/>
        <w:bidi w:val="0"/>
        <w:adjustRightInd w:val="0"/>
        <w:ind w:firstLine="640" w:firstLineChars="200"/>
        <w:rPr>
          <w:rFonts w:ascii="Times New Roman" w:hAnsi="Times New Roman" w:eastAsia="仿宋"/>
          <w:sz w:val="32"/>
          <w:highlight w:val="none"/>
        </w:rPr>
      </w:pPr>
      <w:r>
        <w:rPr>
          <w:rFonts w:hint="eastAsia" w:ascii="仿宋" w:hAnsi="仿宋" w:eastAsia="仿宋"/>
          <w:sz w:val="32"/>
          <w:szCs w:val="32"/>
          <w:highlight w:val="none"/>
          <w:lang w:eastAsia="zh-CN"/>
        </w:rPr>
        <w:t>根据近年来纯碱期现货价格主要运行区间，将</w:t>
      </w:r>
      <w:r>
        <w:rPr>
          <w:rFonts w:ascii="Times New Roman" w:hAnsi="Times New Roman" w:eastAsia="仿宋"/>
          <w:sz w:val="32"/>
          <w:highlight w:val="none"/>
        </w:rPr>
        <w:t>纯碱期权</w:t>
      </w:r>
      <w:r>
        <w:rPr>
          <w:rFonts w:hint="eastAsia" w:ascii="Times New Roman" w:hAnsi="Times New Roman" w:eastAsia="仿宋"/>
          <w:sz w:val="32"/>
          <w:highlight w:val="none"/>
        </w:rPr>
        <w:t>行权价格</w:t>
      </w:r>
      <w:r>
        <w:rPr>
          <w:rFonts w:ascii="Times New Roman" w:hAnsi="Times New Roman" w:eastAsia="仿宋"/>
          <w:sz w:val="32"/>
          <w:highlight w:val="none"/>
        </w:rPr>
        <w:t>以1000元</w:t>
      </w:r>
      <w:r>
        <w:rPr>
          <w:rFonts w:ascii="Times New Roman" w:hAnsi="Times New Roman" w:eastAsia="仿宋"/>
          <w:sz w:val="32"/>
          <w:szCs w:val="32"/>
          <w:highlight w:val="none"/>
        </w:rPr>
        <w:t>/</w:t>
      </w:r>
      <w:r>
        <w:rPr>
          <w:rFonts w:ascii="Times New Roman" w:hAnsi="Times New Roman" w:eastAsia="仿宋"/>
          <w:sz w:val="32"/>
          <w:highlight w:val="none"/>
        </w:rPr>
        <w:t>吨和2000元</w:t>
      </w:r>
      <w:r>
        <w:rPr>
          <w:rFonts w:ascii="Times New Roman" w:hAnsi="Times New Roman" w:eastAsia="仿宋"/>
          <w:sz w:val="32"/>
          <w:szCs w:val="32"/>
          <w:highlight w:val="none"/>
        </w:rPr>
        <w:t>/</w:t>
      </w:r>
      <w:r>
        <w:rPr>
          <w:rFonts w:ascii="Times New Roman" w:hAnsi="Times New Roman" w:eastAsia="仿宋"/>
          <w:sz w:val="32"/>
          <w:highlight w:val="none"/>
        </w:rPr>
        <w:t>吨</w:t>
      </w:r>
      <w:r>
        <w:rPr>
          <w:rFonts w:hint="eastAsia" w:ascii="Times New Roman" w:hAnsi="Times New Roman" w:eastAsia="仿宋"/>
          <w:sz w:val="32"/>
          <w:highlight w:val="none"/>
        </w:rPr>
        <w:t>为节点</w:t>
      </w:r>
      <w:r>
        <w:rPr>
          <w:rFonts w:ascii="Times New Roman" w:hAnsi="Times New Roman" w:eastAsia="仿宋"/>
          <w:sz w:val="32"/>
          <w:highlight w:val="none"/>
        </w:rPr>
        <w:t>分</w:t>
      </w:r>
      <w:r>
        <w:rPr>
          <w:rFonts w:hint="eastAsia" w:ascii="Times New Roman" w:hAnsi="Times New Roman" w:eastAsia="仿宋"/>
          <w:sz w:val="32"/>
          <w:highlight w:val="none"/>
        </w:rPr>
        <w:t>为三</w:t>
      </w:r>
      <w:r>
        <w:rPr>
          <w:rFonts w:ascii="Times New Roman" w:hAnsi="Times New Roman" w:eastAsia="仿宋"/>
          <w:sz w:val="32"/>
          <w:highlight w:val="none"/>
        </w:rPr>
        <w:t>段</w:t>
      </w:r>
      <w:r>
        <w:rPr>
          <w:rFonts w:hint="eastAsia" w:ascii="Times New Roman" w:hAnsi="Times New Roman" w:eastAsia="仿宋"/>
          <w:sz w:val="32"/>
          <w:highlight w:val="none"/>
        </w:rPr>
        <w:t>，各段</w:t>
      </w:r>
      <w:r>
        <w:rPr>
          <w:rFonts w:ascii="Times New Roman" w:hAnsi="Times New Roman" w:eastAsia="仿宋"/>
          <w:sz w:val="32"/>
          <w:highlight w:val="none"/>
        </w:rPr>
        <w:t>行权价格间距分别取</w:t>
      </w:r>
      <w:r>
        <w:rPr>
          <w:rFonts w:hint="eastAsia" w:ascii="Times New Roman" w:hAnsi="Times New Roman" w:eastAsia="仿宋"/>
          <w:sz w:val="32"/>
          <w:highlight w:val="none"/>
        </w:rPr>
        <w:t>1</w:t>
      </w:r>
      <w:r>
        <w:rPr>
          <w:rFonts w:ascii="Times New Roman" w:hAnsi="Times New Roman" w:eastAsia="仿宋"/>
          <w:sz w:val="32"/>
          <w:highlight w:val="none"/>
        </w:rPr>
        <w:t>0、</w:t>
      </w:r>
      <w:r>
        <w:rPr>
          <w:rFonts w:hint="eastAsia" w:ascii="Times New Roman" w:hAnsi="Times New Roman" w:eastAsia="仿宋"/>
          <w:sz w:val="32"/>
          <w:highlight w:val="none"/>
        </w:rPr>
        <w:t>2</w:t>
      </w:r>
      <w:r>
        <w:rPr>
          <w:rFonts w:ascii="Times New Roman" w:hAnsi="Times New Roman" w:eastAsia="仿宋"/>
          <w:sz w:val="32"/>
          <w:highlight w:val="none"/>
        </w:rPr>
        <w:t>0、</w:t>
      </w:r>
      <w:r>
        <w:rPr>
          <w:rFonts w:hint="eastAsia" w:ascii="Times New Roman" w:hAnsi="Times New Roman" w:eastAsia="仿宋"/>
          <w:sz w:val="32"/>
          <w:highlight w:val="none"/>
        </w:rPr>
        <w:t>4</w:t>
      </w:r>
      <w:r>
        <w:rPr>
          <w:rFonts w:ascii="Times New Roman" w:hAnsi="Times New Roman" w:eastAsia="仿宋"/>
          <w:sz w:val="32"/>
          <w:highlight w:val="none"/>
        </w:rPr>
        <w:t>0元</w:t>
      </w:r>
      <w:r>
        <w:rPr>
          <w:rFonts w:ascii="Times New Roman" w:hAnsi="Times New Roman" w:eastAsia="仿宋"/>
          <w:sz w:val="32"/>
          <w:szCs w:val="32"/>
          <w:highlight w:val="none"/>
        </w:rPr>
        <w:t>/</w:t>
      </w:r>
      <w:r>
        <w:rPr>
          <w:rFonts w:ascii="Times New Roman" w:hAnsi="Times New Roman" w:eastAsia="仿宋"/>
          <w:sz w:val="32"/>
          <w:highlight w:val="none"/>
        </w:rPr>
        <w:t>吨，与行权价格的比值在1%至2%之间，与国际成熟市场惯例</w:t>
      </w:r>
      <w:r>
        <w:rPr>
          <w:rFonts w:hint="eastAsia" w:ascii="Times New Roman" w:hAnsi="Times New Roman" w:eastAsia="仿宋"/>
          <w:sz w:val="32"/>
          <w:highlight w:val="none"/>
        </w:rPr>
        <w:t>基本</w:t>
      </w:r>
      <w:r>
        <w:rPr>
          <w:rFonts w:ascii="Times New Roman" w:hAnsi="Times New Roman" w:eastAsia="仿宋"/>
          <w:sz w:val="32"/>
          <w:highlight w:val="none"/>
        </w:rPr>
        <w:t>一致。</w:t>
      </w:r>
    </w:p>
    <w:p>
      <w:pPr>
        <w:suppressAutoHyphens/>
        <w:bidi w:val="0"/>
        <w:adjustRightInd w:val="0"/>
        <w:spacing w:line="360" w:lineRule="auto"/>
        <w:jc w:val="center"/>
        <w:rPr>
          <w:rFonts w:ascii="Times New Roman" w:hAnsi="Times New Roman" w:eastAsia="仿宋"/>
          <w:b/>
          <w:sz w:val="24"/>
          <w:szCs w:val="32"/>
        </w:rPr>
      </w:pPr>
      <w:r>
        <w:rPr>
          <w:rFonts w:ascii="Times New Roman" w:hAnsi="Times New Roman" w:eastAsia="仿宋"/>
          <w:b/>
          <w:sz w:val="24"/>
          <w:szCs w:val="32"/>
        </w:rPr>
        <w:t>纯碱期权行权价格间距（单位：元/吨）</w:t>
      </w:r>
    </w:p>
    <w:tbl>
      <w:tblPr>
        <w:tblStyle w:val="2"/>
        <w:tblW w:w="8306"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835"/>
        <w:gridCol w:w="1823"/>
        <w:gridCol w:w="2005"/>
        <w:gridCol w:w="1643"/>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20" w:hRule="atLeast"/>
          <w:jc w:val="center"/>
        </w:trPr>
        <w:tc>
          <w:tcPr>
            <w:tcW w:w="2835" w:type="dxa"/>
            <w:noWrap w:val="0"/>
            <w:vAlign w:val="center"/>
          </w:tcPr>
          <w:p>
            <w:pPr>
              <w:suppressAutoHyphens/>
              <w:bidi w:val="0"/>
              <w:adjustRightInd w:val="0"/>
              <w:jc w:val="center"/>
              <w:rPr>
                <w:rFonts w:ascii="Times New Roman" w:hAnsi="Times New Roman" w:eastAsia="仿宋"/>
                <w:sz w:val="24"/>
              </w:rPr>
            </w:pPr>
            <w:r>
              <w:rPr>
                <w:rFonts w:ascii="Times New Roman" w:hAnsi="Times New Roman" w:eastAsia="仿宋"/>
                <w:sz w:val="24"/>
              </w:rPr>
              <w:t>行权价格</w:t>
            </w:r>
          </w:p>
        </w:tc>
        <w:tc>
          <w:tcPr>
            <w:tcW w:w="1823" w:type="dxa"/>
            <w:noWrap w:val="0"/>
            <w:vAlign w:val="center"/>
          </w:tcPr>
          <w:p>
            <w:pPr>
              <w:suppressAutoHyphens/>
              <w:bidi w:val="0"/>
              <w:adjustRightInd w:val="0"/>
              <w:jc w:val="center"/>
              <w:rPr>
                <w:rFonts w:ascii="Times New Roman" w:hAnsi="Times New Roman" w:eastAsia="仿宋"/>
                <w:sz w:val="24"/>
              </w:rPr>
            </w:pPr>
            <w:r>
              <w:rPr>
                <w:rFonts w:ascii="仿宋" w:hAnsi="仿宋" w:eastAsia="仿宋"/>
                <w:sz w:val="24"/>
              </w:rPr>
              <w:t>≤</w:t>
            </w:r>
            <w:r>
              <w:rPr>
                <w:rFonts w:ascii="Times New Roman" w:hAnsi="Times New Roman" w:eastAsia="仿宋"/>
                <w:sz w:val="24"/>
              </w:rPr>
              <w:t>1000</w:t>
            </w:r>
          </w:p>
        </w:tc>
        <w:tc>
          <w:tcPr>
            <w:tcW w:w="2005" w:type="dxa"/>
            <w:noWrap w:val="0"/>
            <w:vAlign w:val="center"/>
          </w:tcPr>
          <w:p>
            <w:pPr>
              <w:suppressAutoHyphens/>
              <w:bidi w:val="0"/>
              <w:adjustRightInd w:val="0"/>
              <w:jc w:val="center"/>
              <w:rPr>
                <w:rFonts w:ascii="Times New Roman" w:hAnsi="Times New Roman" w:eastAsia="仿宋"/>
                <w:sz w:val="24"/>
              </w:rPr>
            </w:pPr>
            <w:r>
              <w:rPr>
                <w:rFonts w:ascii="Times New Roman" w:hAnsi="Times New Roman" w:eastAsia="仿宋"/>
                <w:sz w:val="24"/>
              </w:rPr>
              <w:t>＞1000且</w:t>
            </w:r>
            <w:r>
              <w:rPr>
                <w:rFonts w:ascii="仿宋" w:hAnsi="仿宋" w:eastAsia="仿宋"/>
                <w:sz w:val="24"/>
              </w:rPr>
              <w:t>≤</w:t>
            </w:r>
            <w:r>
              <w:rPr>
                <w:rFonts w:ascii="Times New Roman" w:hAnsi="Times New Roman" w:eastAsia="仿宋"/>
                <w:sz w:val="24"/>
              </w:rPr>
              <w:t>2000</w:t>
            </w:r>
          </w:p>
        </w:tc>
        <w:tc>
          <w:tcPr>
            <w:tcW w:w="1643" w:type="dxa"/>
            <w:noWrap w:val="0"/>
            <w:vAlign w:val="top"/>
          </w:tcPr>
          <w:p>
            <w:pPr>
              <w:suppressAutoHyphens/>
              <w:bidi w:val="0"/>
              <w:adjustRightInd w:val="0"/>
              <w:jc w:val="center"/>
              <w:rPr>
                <w:rFonts w:ascii="Times New Roman" w:hAnsi="Times New Roman" w:eastAsia="仿宋"/>
                <w:sz w:val="24"/>
              </w:rPr>
            </w:pPr>
            <w:r>
              <w:rPr>
                <w:rFonts w:ascii="Times New Roman" w:hAnsi="Times New Roman" w:eastAsia="仿宋"/>
                <w:sz w:val="24"/>
              </w:rPr>
              <w:t>＞2000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35" w:type="dxa"/>
            <w:noWrap w:val="0"/>
            <w:vAlign w:val="center"/>
          </w:tcPr>
          <w:p>
            <w:pPr>
              <w:suppressAutoHyphens/>
              <w:bidi w:val="0"/>
              <w:adjustRightInd w:val="0"/>
              <w:jc w:val="center"/>
              <w:rPr>
                <w:rFonts w:ascii="Times New Roman" w:hAnsi="Times New Roman" w:eastAsia="仿宋"/>
                <w:sz w:val="24"/>
              </w:rPr>
            </w:pPr>
            <w:r>
              <w:rPr>
                <w:rFonts w:ascii="Times New Roman" w:hAnsi="Times New Roman" w:eastAsia="仿宋"/>
                <w:sz w:val="24"/>
              </w:rPr>
              <w:t>行权价格间距</w:t>
            </w:r>
          </w:p>
        </w:tc>
        <w:tc>
          <w:tcPr>
            <w:tcW w:w="1823" w:type="dxa"/>
            <w:noWrap w:val="0"/>
            <w:vAlign w:val="center"/>
          </w:tcPr>
          <w:p>
            <w:pPr>
              <w:suppressAutoHyphens/>
              <w:bidi w:val="0"/>
              <w:adjustRightInd w:val="0"/>
              <w:jc w:val="center"/>
              <w:rPr>
                <w:rFonts w:ascii="Times New Roman" w:hAnsi="Times New Roman" w:eastAsia="仿宋"/>
                <w:sz w:val="24"/>
              </w:rPr>
            </w:pPr>
            <w:r>
              <w:rPr>
                <w:rFonts w:ascii="Times New Roman" w:hAnsi="Times New Roman" w:eastAsia="仿宋"/>
                <w:sz w:val="24"/>
              </w:rPr>
              <w:t>10</w:t>
            </w:r>
          </w:p>
        </w:tc>
        <w:tc>
          <w:tcPr>
            <w:tcW w:w="2005" w:type="dxa"/>
            <w:noWrap w:val="0"/>
            <w:vAlign w:val="center"/>
          </w:tcPr>
          <w:p>
            <w:pPr>
              <w:suppressAutoHyphens/>
              <w:bidi w:val="0"/>
              <w:adjustRightInd w:val="0"/>
              <w:jc w:val="center"/>
              <w:rPr>
                <w:rFonts w:ascii="Times New Roman" w:hAnsi="Times New Roman" w:eastAsia="仿宋"/>
                <w:sz w:val="24"/>
              </w:rPr>
            </w:pPr>
            <w:r>
              <w:rPr>
                <w:rFonts w:ascii="Times New Roman" w:hAnsi="Times New Roman" w:eastAsia="仿宋"/>
                <w:sz w:val="24"/>
              </w:rPr>
              <w:t>20</w:t>
            </w:r>
          </w:p>
        </w:tc>
        <w:tc>
          <w:tcPr>
            <w:tcW w:w="1643" w:type="dxa"/>
            <w:noWrap w:val="0"/>
            <w:vAlign w:val="top"/>
          </w:tcPr>
          <w:p>
            <w:pPr>
              <w:suppressAutoHyphens/>
              <w:bidi w:val="0"/>
              <w:adjustRightInd w:val="0"/>
              <w:jc w:val="center"/>
              <w:rPr>
                <w:rFonts w:ascii="Times New Roman" w:hAnsi="Times New Roman" w:eastAsia="仿宋"/>
                <w:sz w:val="24"/>
              </w:rPr>
            </w:pPr>
            <w:r>
              <w:rPr>
                <w:rFonts w:ascii="Times New Roman" w:hAnsi="Times New Roman" w:eastAsia="仿宋"/>
                <w:sz w:val="24"/>
              </w:rPr>
              <w:t>40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835" w:type="dxa"/>
            <w:noWrap w:val="0"/>
            <w:vAlign w:val="center"/>
          </w:tcPr>
          <w:p>
            <w:pPr>
              <w:suppressAutoHyphens/>
              <w:bidi w:val="0"/>
              <w:adjustRightInd w:val="0"/>
              <w:jc w:val="center"/>
              <w:rPr>
                <w:rFonts w:ascii="Times New Roman" w:hAnsi="Times New Roman" w:eastAsia="仿宋"/>
                <w:sz w:val="24"/>
              </w:rPr>
            </w:pPr>
            <w:r>
              <w:rPr>
                <w:rFonts w:ascii="Times New Roman" w:hAnsi="Times New Roman" w:eastAsia="仿宋"/>
                <w:sz w:val="24"/>
              </w:rPr>
              <w:t>行权价格间距/行权价格</w:t>
            </w:r>
          </w:p>
        </w:tc>
        <w:tc>
          <w:tcPr>
            <w:tcW w:w="1823" w:type="dxa"/>
            <w:noWrap w:val="0"/>
            <w:vAlign w:val="center"/>
          </w:tcPr>
          <w:p>
            <w:pPr>
              <w:suppressAutoHyphens/>
              <w:bidi w:val="0"/>
              <w:adjustRightInd w:val="0"/>
              <w:jc w:val="center"/>
              <w:rPr>
                <w:rFonts w:ascii="Times New Roman" w:hAnsi="Times New Roman" w:eastAsia="仿宋"/>
                <w:sz w:val="24"/>
              </w:rPr>
            </w:pPr>
            <w:r>
              <w:rPr>
                <w:rFonts w:ascii="仿宋" w:hAnsi="仿宋" w:eastAsia="仿宋"/>
                <w:sz w:val="24"/>
              </w:rPr>
              <w:t>≥</w:t>
            </w:r>
            <w:r>
              <w:rPr>
                <w:rFonts w:ascii="Times New Roman" w:hAnsi="Times New Roman" w:eastAsia="仿宋"/>
                <w:sz w:val="24"/>
              </w:rPr>
              <w:t>1%</w:t>
            </w:r>
          </w:p>
        </w:tc>
        <w:tc>
          <w:tcPr>
            <w:tcW w:w="2005" w:type="dxa"/>
            <w:noWrap w:val="0"/>
            <w:vAlign w:val="center"/>
          </w:tcPr>
          <w:p>
            <w:pPr>
              <w:suppressAutoHyphens/>
              <w:bidi w:val="0"/>
              <w:adjustRightInd w:val="0"/>
              <w:jc w:val="center"/>
              <w:rPr>
                <w:rFonts w:ascii="Times New Roman" w:hAnsi="Times New Roman" w:eastAsia="仿宋"/>
                <w:sz w:val="24"/>
              </w:rPr>
            </w:pPr>
            <w:r>
              <w:rPr>
                <w:rFonts w:ascii="仿宋" w:hAnsi="仿宋" w:eastAsia="仿宋"/>
                <w:sz w:val="24"/>
              </w:rPr>
              <w:t>≥</w:t>
            </w:r>
            <w:r>
              <w:rPr>
                <w:rFonts w:ascii="Times New Roman" w:hAnsi="Times New Roman" w:eastAsia="仿宋"/>
                <w:sz w:val="24"/>
              </w:rPr>
              <w:t>1%且＜2%</w:t>
            </w:r>
          </w:p>
        </w:tc>
        <w:tc>
          <w:tcPr>
            <w:tcW w:w="1643" w:type="dxa"/>
            <w:noWrap w:val="0"/>
            <w:vAlign w:val="top"/>
          </w:tcPr>
          <w:p>
            <w:pPr>
              <w:suppressAutoHyphens/>
              <w:bidi w:val="0"/>
              <w:adjustRightInd w:val="0"/>
              <w:jc w:val="center"/>
              <w:rPr>
                <w:rFonts w:ascii="Times New Roman" w:hAnsi="Times New Roman" w:eastAsia="仿宋"/>
                <w:sz w:val="24"/>
              </w:rPr>
            </w:pPr>
            <w:r>
              <w:rPr>
                <w:rFonts w:ascii="Times New Roman" w:hAnsi="Times New Roman" w:eastAsia="仿宋"/>
                <w:sz w:val="24"/>
              </w:rPr>
              <w:t>＜2%</w:t>
            </w:r>
          </w:p>
        </w:tc>
      </w:tr>
    </w:tbl>
    <w:p>
      <w:pPr>
        <w:widowControl w:val="0"/>
        <w:adjustRightInd w:val="0"/>
        <w:spacing w:line="360" w:lineRule="auto"/>
        <w:ind w:firstLine="640" w:firstLineChars="200"/>
        <w:jc w:val="both"/>
        <w:outlineLvl w:val="2"/>
        <w:rPr>
          <w:rFonts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（九）行权方式：美式</w:t>
      </w:r>
    </w:p>
    <w:p>
      <w:pPr>
        <w:widowControl w:val="0"/>
        <w:adjustRightInd w:val="0"/>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期权行权方式可分为美式与欧式。对于期权买方，美式期权行权可在到期日及之前任一交易日进行，而欧式期权行权只能在到期日进行。</w:t>
      </w:r>
    </w:p>
    <w:p>
      <w:pPr>
        <w:widowControl w:val="0"/>
        <w:adjustRightInd w:val="0"/>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国际商品期权一般为美式期权。美式期权行权方式有利于保持期权和期货价格更强的关联性，给交易者提供灵活的选择，可以降低期权</w:t>
      </w:r>
      <w:r>
        <w:rPr>
          <w:rFonts w:ascii="仿宋" w:hAnsi="仿宋" w:eastAsia="仿宋" w:cs="Times New Roman"/>
          <w:kern w:val="2"/>
          <w:sz w:val="32"/>
          <w:szCs w:val="32"/>
          <w:lang w:val="en-US" w:eastAsia="zh-CN" w:bidi="ar-SA"/>
        </w:rPr>
        <w:t>集中到期对标的期货市场运行</w:t>
      </w:r>
      <w:r>
        <w:rPr>
          <w:rFonts w:hint="eastAsia" w:ascii="仿宋" w:hAnsi="仿宋" w:eastAsia="仿宋" w:cs="Times New Roman"/>
          <w:kern w:val="2"/>
          <w:sz w:val="32"/>
          <w:szCs w:val="32"/>
          <w:lang w:val="en-US" w:eastAsia="zh-CN" w:bidi="ar-SA"/>
        </w:rPr>
        <w:t>的影响</w:t>
      </w:r>
      <w:r>
        <w:rPr>
          <w:rFonts w:ascii="仿宋" w:hAnsi="仿宋" w:eastAsia="仿宋" w:cs="Times New Roman"/>
          <w:kern w:val="2"/>
          <w:sz w:val="32"/>
          <w:szCs w:val="32"/>
          <w:lang w:val="en-US" w:eastAsia="zh-CN" w:bidi="ar-SA"/>
        </w:rPr>
        <w:t>。</w:t>
      </w:r>
    </w:p>
    <w:p>
      <w:pPr>
        <w:widowControl w:val="0"/>
        <w:adjustRightInd w:val="0"/>
        <w:ind w:firstLine="640" w:firstLineChars="200"/>
        <w:jc w:val="both"/>
        <w:rPr>
          <w:rFonts w:ascii="仿宋" w:hAnsi="仿宋" w:eastAsia="仿宋" w:cs="Times New Roman"/>
          <w:kern w:val="2"/>
          <w:sz w:val="32"/>
          <w:szCs w:val="32"/>
          <w:lang w:val="en-US" w:eastAsia="zh-CN" w:bidi="ar-SA"/>
        </w:rPr>
      </w:pPr>
      <w:r>
        <w:rPr>
          <w:rFonts w:hint="eastAsia" w:ascii="Times New Roman" w:hAnsi="Times New Roman" w:eastAsia="仿宋" w:cs="Times New Roman"/>
          <w:sz w:val="32"/>
          <w:szCs w:val="32"/>
        </w:rPr>
        <w:t>根据已上市期权品种运行情况，</w:t>
      </w:r>
      <w:r>
        <w:rPr>
          <w:rFonts w:hint="eastAsia" w:ascii="仿宋" w:hAnsi="仿宋" w:eastAsia="仿宋" w:cs="Times New Roman"/>
          <w:kern w:val="2"/>
          <w:sz w:val="32"/>
          <w:szCs w:val="32"/>
          <w:lang w:val="en-US" w:eastAsia="zh-CN" w:bidi="ar-SA"/>
        </w:rPr>
        <w:t>市场存在提前行权需求。借鉴国际市场和已上市期权运行经验，纯碱期权也采用美式期权。</w:t>
      </w:r>
    </w:p>
    <w:p>
      <w:pPr>
        <w:widowControl w:val="0"/>
        <w:adjustRightInd w:val="0"/>
        <w:spacing w:line="360" w:lineRule="auto"/>
        <w:ind w:firstLine="640" w:firstLineChars="200"/>
        <w:jc w:val="both"/>
        <w:outlineLvl w:val="2"/>
        <w:rPr>
          <w:rFonts w:ascii="Times New Roman" w:hAnsi="Times New Roman" w:eastAsia="楷体" w:cs="Times New Roman"/>
          <w:kern w:val="2"/>
          <w:sz w:val="32"/>
          <w:szCs w:val="32"/>
          <w:lang w:val="en-US" w:eastAsia="zh-CN" w:bidi="ar-SA"/>
        </w:rPr>
      </w:pPr>
      <w:r>
        <w:rPr>
          <w:rFonts w:ascii="Times New Roman" w:hAnsi="Times New Roman" w:eastAsia="楷体" w:cs="Times New Roman"/>
          <w:kern w:val="2"/>
          <w:sz w:val="32"/>
          <w:szCs w:val="32"/>
          <w:lang w:val="en-US" w:eastAsia="zh-CN" w:bidi="ar-SA"/>
        </w:rPr>
        <w:t>（十）交易代码：SA-合约月份-C（P</w:t>
      </w:r>
      <w:r>
        <w:rPr>
          <w:rFonts w:hint="default" w:ascii="Times New Roman" w:hAnsi="Times New Roman" w:eastAsia="楷体" w:cs="Times New Roman"/>
          <w:kern w:val="2"/>
          <w:sz w:val="32"/>
          <w:szCs w:val="32"/>
          <w:lang w:val="en-US" w:eastAsia="zh-CN" w:bidi="ar-SA"/>
        </w:rPr>
        <w:t>）</w:t>
      </w:r>
      <w:r>
        <w:rPr>
          <w:rFonts w:ascii="Times New Roman" w:hAnsi="Times New Roman" w:eastAsia="楷体" w:cs="Times New Roman"/>
          <w:kern w:val="2"/>
          <w:sz w:val="32"/>
          <w:szCs w:val="32"/>
          <w:lang w:val="en-US" w:eastAsia="zh-CN" w:bidi="ar-SA"/>
        </w:rPr>
        <w:t>-行权价格</w:t>
      </w:r>
    </w:p>
    <w:p>
      <w:pPr>
        <w:suppressAutoHyphens/>
        <w:bidi w:val="0"/>
        <w:adjustRightInd w:val="0"/>
        <w:ind w:firstLine="640" w:firstLineChars="200"/>
      </w:pPr>
      <w:r>
        <w:rPr>
          <w:rFonts w:ascii="Times New Roman" w:hAnsi="Times New Roman" w:eastAsia="仿宋"/>
          <w:sz w:val="32"/>
          <w:szCs w:val="32"/>
        </w:rPr>
        <w:t>纯碱期权合约沿用国内商品期权通行的交易代码组成方式，与已上市期权交易代码组成方式一致，便于</w:t>
      </w:r>
      <w:r>
        <w:rPr>
          <w:rFonts w:hint="eastAsia" w:ascii="Times New Roman" w:hAnsi="Times New Roman" w:eastAsia="仿宋"/>
          <w:sz w:val="32"/>
          <w:szCs w:val="32"/>
          <w:lang w:eastAsia="zh-CN"/>
        </w:rPr>
        <w:t>交易者</w:t>
      </w:r>
      <w:r>
        <w:rPr>
          <w:rFonts w:ascii="Times New Roman" w:hAnsi="Times New Roman" w:eastAsia="仿宋"/>
          <w:sz w:val="32"/>
          <w:szCs w:val="32"/>
        </w:rPr>
        <w:t>理解与掌握。</w:t>
      </w:r>
      <w:r>
        <w:rPr>
          <w:rFonts w:ascii="Times New Roman" w:hAnsi="Times New Roman" w:eastAsia="仿宋"/>
          <w:color w:val="000000"/>
          <w:sz w:val="32"/>
          <w:szCs w:val="32"/>
        </w:rPr>
        <w:t>其中，看涨期权（Call）用大写英文字母C表示，看跌期权（Put）用大写英文字母P表示。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DC9ED"/>
    <w:multiLevelType w:val="singleLevel"/>
    <w:tmpl w:val="FDFDC9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91508"/>
    <w:rsid w:val="02220782"/>
    <w:rsid w:val="0BE4564E"/>
    <w:rsid w:val="0EB17C89"/>
    <w:rsid w:val="1829275F"/>
    <w:rsid w:val="182A1252"/>
    <w:rsid w:val="1A4D0317"/>
    <w:rsid w:val="27355C36"/>
    <w:rsid w:val="29DC6918"/>
    <w:rsid w:val="364D5A11"/>
    <w:rsid w:val="42BC2D37"/>
    <w:rsid w:val="4CCE778A"/>
    <w:rsid w:val="51BF2250"/>
    <w:rsid w:val="676F5287"/>
    <w:rsid w:val="68491508"/>
    <w:rsid w:val="795F3794"/>
    <w:rsid w:val="7D79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2023-07-03T05:56:00Z</dcterms:created>
  <dc:creator>仇一萌</dc:creator>
  <cp:lastModifiedBy>仇一萌</cp:lastModifiedBy>
  <dcterms:modified xsi:type="dcterms:W3CDTF">2023-07-03T05:57:03Z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2335CBB4B31A4DB6BDBDCB2DA8E54CFB</vt:lpwstr>
  </property>
</Properties>
</file>